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414A6" w14:textId="77777777" w:rsidR="000F34B1" w:rsidRDefault="000F34B1" w:rsidP="000F34B1">
      <w:pPr>
        <w:jc w:val="center"/>
        <w:rPr>
          <w:rFonts w:eastAsia="Times New Roman" w:cstheme="minorHAnsi"/>
          <w:b/>
          <w:bCs/>
          <w:color w:val="000000"/>
          <w:lang w:eastAsia="hr-HR"/>
        </w:rPr>
      </w:pPr>
      <w:bookmarkStart w:id="0" w:name="RANGE!A2:G29"/>
    </w:p>
    <w:p w14:paraId="2728DCBA" w14:textId="77777777" w:rsidR="000F34B1" w:rsidRDefault="000F34B1" w:rsidP="000F34B1">
      <w:pPr>
        <w:jc w:val="center"/>
        <w:rPr>
          <w:rFonts w:eastAsia="Times New Roman" w:cstheme="minorHAnsi"/>
          <w:b/>
          <w:bCs/>
          <w:color w:val="000000"/>
          <w:lang w:eastAsia="hr-HR"/>
        </w:rPr>
      </w:pPr>
    </w:p>
    <w:p w14:paraId="365F4405" w14:textId="77777777" w:rsidR="000F34B1" w:rsidRDefault="000F34B1" w:rsidP="000F34B1">
      <w:pPr>
        <w:jc w:val="center"/>
        <w:rPr>
          <w:rFonts w:eastAsia="Times New Roman" w:cstheme="minorHAnsi"/>
          <w:b/>
          <w:bCs/>
          <w:color w:val="000000"/>
          <w:lang w:eastAsia="hr-HR"/>
        </w:rPr>
      </w:pPr>
      <w:r w:rsidRPr="000F34B1">
        <w:rPr>
          <w:rFonts w:eastAsia="Times New Roman" w:cstheme="minorHAnsi"/>
          <w:b/>
          <w:bCs/>
          <w:color w:val="000000"/>
          <w:lang w:eastAsia="hr-HR"/>
        </w:rPr>
        <w:t>PRILOG IV - TEHNIČKE SPECIFIKACIJE</w:t>
      </w:r>
      <w:bookmarkEnd w:id="0"/>
    </w:p>
    <w:p w14:paraId="1093EDB1" w14:textId="77777777" w:rsidR="000F34B1" w:rsidRDefault="000F34B1" w:rsidP="000F34B1">
      <w:pPr>
        <w:jc w:val="center"/>
        <w:rPr>
          <w:rFonts w:eastAsia="Times New Roman" w:cstheme="minorHAnsi"/>
          <w:b/>
          <w:bCs/>
          <w:color w:val="000000"/>
          <w:lang w:eastAsia="hr-HR"/>
        </w:rPr>
      </w:pPr>
    </w:p>
    <w:p w14:paraId="59F57755" w14:textId="77777777" w:rsidR="000F34B1" w:rsidRPr="00C87C56" w:rsidRDefault="000F34B1" w:rsidP="000F34B1">
      <w:pPr>
        <w:tabs>
          <w:tab w:val="left" w:pos="567"/>
        </w:tabs>
        <w:jc w:val="center"/>
        <w:rPr>
          <w:rFonts w:cstheme="minorHAnsi"/>
          <w:b/>
          <w:bCs/>
          <w:sz w:val="24"/>
          <w:szCs w:val="24"/>
          <w:lang w:bidi="hr-HR"/>
        </w:rPr>
      </w:pPr>
      <w:r>
        <w:rPr>
          <w:rFonts w:cstheme="minorHAnsi"/>
          <w:b/>
          <w:bCs/>
          <w:sz w:val="24"/>
          <w:szCs w:val="24"/>
          <w:lang w:bidi="hr-HR"/>
        </w:rPr>
        <w:t>SERVO – ELEKTRIČNA KUTNA PREŠA</w:t>
      </w:r>
      <w:r w:rsidRPr="00C452AB">
        <w:rPr>
          <w:b/>
          <w:lang w:val="en-GB"/>
        </w:rPr>
        <w:t xml:space="preserve"> – </w:t>
      </w:r>
      <w:r w:rsidRPr="00C87C56">
        <w:rPr>
          <w:rFonts w:cstheme="minorHAnsi"/>
          <w:b/>
          <w:sz w:val="24"/>
          <w:szCs w:val="24"/>
        </w:rPr>
        <w:t>K.K.03.2.1.06.1664/2</w:t>
      </w:r>
    </w:p>
    <w:p w14:paraId="16125FE4" w14:textId="77777777" w:rsidR="000F34B1" w:rsidRPr="000F34B1" w:rsidRDefault="000F34B1" w:rsidP="000F34B1">
      <w:pPr>
        <w:jc w:val="center"/>
        <w:rPr>
          <w:rFonts w:cstheme="minorHAnsi"/>
        </w:rPr>
      </w:pPr>
    </w:p>
    <w:p w14:paraId="7FC14496" w14:textId="77777777" w:rsidR="000F34B1" w:rsidRPr="000F34B1" w:rsidRDefault="000F34B1" w:rsidP="000F34B1">
      <w:pPr>
        <w:rPr>
          <w:rFonts w:cstheme="minorHAnsi"/>
        </w:rPr>
      </w:pPr>
    </w:p>
    <w:p w14:paraId="52E3E72F" w14:textId="7CAC4276" w:rsidR="000F34B1" w:rsidRDefault="000F34B1" w:rsidP="00CA586E">
      <w:pPr>
        <w:spacing w:after="0" w:line="240" w:lineRule="auto"/>
        <w:ind w:firstLineChars="100" w:firstLine="220"/>
        <w:rPr>
          <w:rFonts w:eastAsia="Times New Roman" w:cstheme="minorHAnsi"/>
          <w:color w:val="000000"/>
          <w:lang w:eastAsia="hr-HR"/>
        </w:rPr>
      </w:pPr>
      <w:r w:rsidRPr="000F34B1">
        <w:rPr>
          <w:rFonts w:eastAsia="Times New Roman" w:cstheme="minorHAnsi"/>
          <w:color w:val="000000"/>
          <w:lang w:eastAsia="hr-HR"/>
        </w:rPr>
        <w:br/>
      </w:r>
      <w:r>
        <w:rPr>
          <w:rFonts w:eastAsia="Times New Roman" w:cstheme="minorHAnsi"/>
          <w:color w:val="000000"/>
          <w:lang w:eastAsia="hr-HR"/>
        </w:rPr>
        <w:t>-</w:t>
      </w:r>
      <w:r>
        <w:rPr>
          <w:rFonts w:eastAsia="Times New Roman" w:cstheme="minorHAnsi"/>
          <w:color w:val="000000"/>
          <w:lang w:eastAsia="hr-HR"/>
        </w:rPr>
        <w:tab/>
      </w:r>
      <w:r w:rsidRPr="000F34B1">
        <w:rPr>
          <w:rFonts w:eastAsia="Times New Roman" w:cstheme="minorHAnsi"/>
          <w:color w:val="000000"/>
          <w:lang w:eastAsia="hr-HR"/>
        </w:rPr>
        <w:t>Kolone 1-</w:t>
      </w:r>
      <w:r w:rsidR="00CA586E">
        <w:rPr>
          <w:rFonts w:eastAsia="Times New Roman" w:cstheme="minorHAnsi"/>
          <w:color w:val="000000"/>
          <w:lang w:eastAsia="hr-HR"/>
        </w:rPr>
        <w:t>3</w:t>
      </w:r>
      <w:r w:rsidRPr="000F34B1">
        <w:rPr>
          <w:rFonts w:eastAsia="Times New Roman" w:cstheme="minorHAnsi"/>
          <w:color w:val="000000"/>
          <w:lang w:eastAsia="hr-HR"/>
        </w:rPr>
        <w:t xml:space="preserve"> treba ispuniti Naručitelj </w:t>
      </w:r>
      <w:r w:rsidRPr="000F34B1">
        <w:rPr>
          <w:rFonts w:eastAsia="Times New Roman" w:cstheme="minorHAnsi"/>
          <w:color w:val="000000"/>
          <w:lang w:eastAsia="hr-HR"/>
        </w:rPr>
        <w:br/>
      </w:r>
      <w:r w:rsidR="00CA586E">
        <w:rPr>
          <w:rFonts w:eastAsia="Times New Roman" w:cstheme="minorHAnsi"/>
          <w:color w:val="000000"/>
          <w:lang w:eastAsia="hr-HR"/>
        </w:rPr>
        <w:t>-</w:t>
      </w:r>
      <w:r w:rsidR="00CA586E">
        <w:rPr>
          <w:rFonts w:eastAsia="Times New Roman" w:cstheme="minorHAnsi"/>
          <w:color w:val="000000"/>
          <w:lang w:eastAsia="hr-HR"/>
        </w:rPr>
        <w:tab/>
        <w:t>Kolone 4-5</w:t>
      </w:r>
      <w:r w:rsidRPr="000F34B1">
        <w:rPr>
          <w:rFonts w:eastAsia="Times New Roman" w:cstheme="minorHAnsi"/>
          <w:color w:val="000000"/>
          <w:lang w:eastAsia="hr-HR"/>
        </w:rPr>
        <w:t xml:space="preserve"> treba ispuniti ponuditelj </w:t>
      </w:r>
      <w:r w:rsidRPr="000F34B1">
        <w:rPr>
          <w:rFonts w:eastAsia="Times New Roman" w:cstheme="minorHAnsi"/>
          <w:color w:val="000000"/>
          <w:lang w:eastAsia="hr-HR"/>
        </w:rPr>
        <w:br/>
      </w:r>
      <w:r w:rsidR="00CA586E">
        <w:rPr>
          <w:rFonts w:eastAsia="Times New Roman" w:cstheme="minorHAnsi"/>
          <w:color w:val="000000"/>
          <w:lang w:eastAsia="hr-HR"/>
        </w:rPr>
        <w:t>-</w:t>
      </w:r>
      <w:r w:rsidR="00CA586E">
        <w:rPr>
          <w:rFonts w:eastAsia="Times New Roman" w:cstheme="minorHAnsi"/>
          <w:color w:val="000000"/>
          <w:lang w:eastAsia="hr-HR"/>
        </w:rPr>
        <w:tab/>
        <w:t>Kolona 6</w:t>
      </w:r>
      <w:r w:rsidRPr="000F34B1">
        <w:rPr>
          <w:rFonts w:eastAsia="Times New Roman" w:cstheme="minorHAnsi"/>
          <w:color w:val="000000"/>
          <w:lang w:eastAsia="hr-HR"/>
        </w:rPr>
        <w:t xml:space="preserve"> je rezervirana za evaluacijski odbor </w:t>
      </w:r>
    </w:p>
    <w:p w14:paraId="3471275A" w14:textId="525C7B5F" w:rsidR="000F34B1" w:rsidRPr="000F34B1" w:rsidRDefault="000F34B1" w:rsidP="00CA586E">
      <w:pPr>
        <w:spacing w:after="0" w:line="240" w:lineRule="auto"/>
        <w:ind w:right="567" w:firstLineChars="100" w:firstLine="220"/>
        <w:rPr>
          <w:rFonts w:eastAsia="Times New Roman" w:cstheme="minorHAnsi"/>
          <w:color w:val="000000"/>
          <w:lang w:eastAsia="hr-HR"/>
        </w:rPr>
      </w:pPr>
      <w:r w:rsidRPr="000F34B1">
        <w:rPr>
          <w:rFonts w:eastAsia="Times New Roman" w:cstheme="minorHAnsi"/>
          <w:color w:val="000000"/>
          <w:lang w:eastAsia="hr-HR"/>
        </w:rPr>
        <w:br/>
      </w:r>
      <w:r w:rsidRPr="000F34B1">
        <w:rPr>
          <w:rFonts w:eastAsia="Times New Roman" w:cstheme="minorHAnsi"/>
          <w:color w:val="000000"/>
          <w:lang w:eastAsia="hr-HR"/>
        </w:rPr>
        <w:br/>
      </w:r>
      <w:r w:rsidRPr="000F34B1">
        <w:rPr>
          <w:rFonts w:eastAsia="Times New Roman" w:cstheme="minorHAnsi"/>
          <w:b/>
          <w:bCs/>
          <w:color w:val="000000"/>
          <w:lang w:eastAsia="hr-HR"/>
        </w:rPr>
        <w:t xml:space="preserve">Natjecatelji </w:t>
      </w:r>
      <w:r>
        <w:rPr>
          <w:rFonts w:eastAsia="Times New Roman" w:cstheme="minorHAnsi"/>
          <w:b/>
          <w:bCs/>
          <w:color w:val="000000"/>
          <w:lang w:eastAsia="hr-HR"/>
        </w:rPr>
        <w:t>su dužni ispuniti obrazac na sl</w:t>
      </w:r>
      <w:r w:rsidRPr="000F34B1">
        <w:rPr>
          <w:rFonts w:eastAsia="Times New Roman" w:cstheme="minorHAnsi"/>
          <w:b/>
          <w:bCs/>
          <w:color w:val="000000"/>
          <w:lang w:eastAsia="hr-HR"/>
        </w:rPr>
        <w:t xml:space="preserve">jedećim stranicama </w:t>
      </w:r>
      <w:r>
        <w:rPr>
          <w:rFonts w:eastAsia="Times New Roman" w:cstheme="minorHAnsi"/>
          <w:color w:val="000000"/>
          <w:lang w:eastAsia="hr-HR"/>
        </w:rPr>
        <w:br/>
        <w:t xml:space="preserve">• Kolonu </w:t>
      </w:r>
      <w:r w:rsidR="00CA586E">
        <w:rPr>
          <w:rFonts w:eastAsia="Times New Roman" w:cstheme="minorHAnsi"/>
          <w:color w:val="000000"/>
          <w:lang w:eastAsia="hr-HR"/>
        </w:rPr>
        <w:t>3</w:t>
      </w:r>
      <w:r w:rsidRPr="000F34B1">
        <w:rPr>
          <w:rFonts w:eastAsia="Times New Roman" w:cstheme="minorHAnsi"/>
          <w:color w:val="000000"/>
          <w:lang w:eastAsia="hr-HR"/>
        </w:rPr>
        <w:t xml:space="preserve"> ispunjava Naručitelj sa specifikacijama tražene robe (ponuditelji ih ne smiju modificirati) </w:t>
      </w:r>
    </w:p>
    <w:p w14:paraId="73FF8115" w14:textId="338302C4" w:rsidR="000F34B1" w:rsidRPr="000F34B1" w:rsidRDefault="000F34B1" w:rsidP="00CA586E">
      <w:pPr>
        <w:spacing w:after="0" w:line="240" w:lineRule="auto"/>
        <w:ind w:right="567"/>
        <w:rPr>
          <w:rFonts w:eastAsia="Times New Roman" w:cstheme="minorHAnsi"/>
          <w:color w:val="000000"/>
          <w:lang w:eastAsia="hr-HR"/>
        </w:rPr>
      </w:pPr>
      <w:r w:rsidRPr="000F34B1">
        <w:rPr>
          <w:rFonts w:eastAsia="Times New Roman" w:cstheme="minorHAnsi"/>
          <w:color w:val="000000"/>
          <w:lang w:eastAsia="hr-HR"/>
        </w:rPr>
        <w:t>•</w:t>
      </w:r>
      <w:r w:rsidR="00CA586E">
        <w:rPr>
          <w:rFonts w:eastAsia="Times New Roman" w:cstheme="minorHAnsi"/>
          <w:color w:val="000000"/>
          <w:lang w:eastAsia="hr-HR"/>
        </w:rPr>
        <w:t xml:space="preserve"> Kolonu 4</w:t>
      </w:r>
      <w:r w:rsidRPr="000F34B1">
        <w:rPr>
          <w:rFonts w:eastAsia="Times New Roman" w:cstheme="minorHAnsi"/>
          <w:color w:val="000000"/>
          <w:lang w:eastAsia="hr-HR"/>
        </w:rPr>
        <w:t xml:space="preserve"> treba ispuniti ponuditelj detaljnim opisom robe koju nudi (riječi kao “sukladan” ili “da” nisu dovoljne) </w:t>
      </w:r>
    </w:p>
    <w:p w14:paraId="2C07F738" w14:textId="5074238F" w:rsidR="000F34B1" w:rsidRPr="000F34B1" w:rsidRDefault="00CA586E" w:rsidP="00CA586E">
      <w:pPr>
        <w:spacing w:after="0" w:line="240" w:lineRule="auto"/>
        <w:ind w:right="567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• U koloni 5</w:t>
      </w:r>
      <w:r w:rsidR="000F34B1" w:rsidRPr="000F34B1">
        <w:rPr>
          <w:rFonts w:eastAsia="Times New Roman" w:cstheme="minorHAnsi"/>
          <w:color w:val="000000"/>
          <w:lang w:eastAsia="hr-HR"/>
        </w:rPr>
        <w:t xml:space="preserve"> ponuditelji su slobodni dodati svoje komentare i eventualna dodatna objašnjenja odnosno reference na </w:t>
      </w:r>
    </w:p>
    <w:p w14:paraId="48A3EB19" w14:textId="77777777" w:rsidR="000F34B1" w:rsidRPr="000F34B1" w:rsidRDefault="000F34B1" w:rsidP="00CA586E">
      <w:pPr>
        <w:spacing w:after="0" w:line="240" w:lineRule="auto"/>
        <w:ind w:right="567"/>
        <w:rPr>
          <w:rFonts w:eastAsia="Times New Roman" w:cstheme="minorHAnsi"/>
          <w:i/>
          <w:iCs/>
          <w:color w:val="000000"/>
          <w:lang w:eastAsia="hr-HR"/>
        </w:rPr>
      </w:pPr>
      <w:r w:rsidRPr="000F34B1">
        <w:rPr>
          <w:rFonts w:eastAsia="Times New Roman" w:cstheme="minorHAnsi"/>
          <w:color w:val="000000"/>
          <w:lang w:eastAsia="hr-HR"/>
        </w:rPr>
        <w:t xml:space="preserve">prateće dokumente </w:t>
      </w:r>
    </w:p>
    <w:p w14:paraId="537EEA0F" w14:textId="5595D2AC" w:rsidR="000F34B1" w:rsidRPr="000F34B1" w:rsidRDefault="000F34B1" w:rsidP="00CA586E">
      <w:pPr>
        <w:spacing w:after="0" w:line="240" w:lineRule="auto"/>
        <w:ind w:right="567"/>
        <w:rPr>
          <w:rFonts w:eastAsia="Times New Roman" w:cstheme="minorHAnsi"/>
          <w:color w:val="000000"/>
          <w:lang w:eastAsia="hr-HR"/>
        </w:rPr>
      </w:pPr>
      <w:r w:rsidRPr="000F34B1">
        <w:rPr>
          <w:rFonts w:eastAsia="Times New Roman" w:cstheme="minorHAnsi"/>
          <w:color w:val="000000"/>
          <w:lang w:eastAsia="hr-HR"/>
        </w:rPr>
        <w:t>• Kolo</w:t>
      </w:r>
      <w:r w:rsidR="00CA586E">
        <w:rPr>
          <w:rFonts w:eastAsia="Times New Roman" w:cstheme="minorHAnsi"/>
          <w:color w:val="000000"/>
          <w:lang w:eastAsia="hr-HR"/>
        </w:rPr>
        <w:t>na 6</w:t>
      </w:r>
      <w:r w:rsidRPr="000F34B1">
        <w:rPr>
          <w:rFonts w:eastAsia="Times New Roman" w:cstheme="minorHAnsi"/>
          <w:color w:val="000000"/>
          <w:lang w:eastAsia="hr-HR"/>
        </w:rPr>
        <w:t xml:space="preserve"> je rezervirana za evaluacijski odbor i ne smije biti mijenjana / ispunjena od strane ponuditelja </w:t>
      </w:r>
    </w:p>
    <w:p w14:paraId="05BFEB67" w14:textId="7FD91A76" w:rsidR="000F34B1" w:rsidRPr="000F34B1" w:rsidRDefault="000F34B1" w:rsidP="00CA586E">
      <w:pPr>
        <w:pStyle w:val="Odlomakpopisa"/>
        <w:numPr>
          <w:ilvl w:val="0"/>
          <w:numId w:val="9"/>
        </w:numPr>
        <w:tabs>
          <w:tab w:val="left" w:pos="142"/>
          <w:tab w:val="left" w:pos="15026"/>
        </w:tabs>
        <w:spacing w:after="0" w:line="240" w:lineRule="auto"/>
        <w:ind w:left="0" w:right="567" w:firstLine="0"/>
        <w:rPr>
          <w:rFonts w:eastAsia="Times New Roman" w:cstheme="minorHAnsi"/>
          <w:color w:val="000000"/>
          <w:lang w:eastAsia="hr-HR"/>
        </w:rPr>
      </w:pPr>
      <w:r w:rsidRPr="000F34B1">
        <w:rPr>
          <w:rFonts w:eastAsia="Times New Roman" w:cstheme="minorHAnsi"/>
          <w:color w:val="000000"/>
          <w:lang w:eastAsia="hr-HR"/>
        </w:rPr>
        <w:t xml:space="preserve">Eventualna prateća dokumentacija koja se dostavi kao nadopuna ovoj ponudi mora jasno ukazivati na modele odnosno opcije koje se nude, kako bi </w:t>
      </w:r>
      <w:proofErr w:type="spellStart"/>
      <w:r w:rsidRPr="000F34B1">
        <w:rPr>
          <w:rFonts w:eastAsia="Times New Roman" w:cstheme="minorHAnsi"/>
          <w:color w:val="000000"/>
          <w:lang w:eastAsia="hr-HR"/>
        </w:rPr>
        <w:t>evaluatori</w:t>
      </w:r>
      <w:proofErr w:type="spellEnd"/>
      <w:r w:rsidRPr="000F34B1">
        <w:rPr>
          <w:rFonts w:eastAsia="Times New Roman" w:cstheme="minorHAnsi"/>
          <w:color w:val="000000"/>
          <w:lang w:eastAsia="hr-HR"/>
        </w:rPr>
        <w:t xml:space="preserve"> jasno mogli razaznati konfiguraciju ponudu. Ponude koje ne identificiraju precizno modele i specifikacije mogu biti  odbijeni od strane evaluacijskog odbora </w:t>
      </w:r>
    </w:p>
    <w:p w14:paraId="047A70CD" w14:textId="2F112BD7" w:rsidR="000F34B1" w:rsidRPr="000F34B1" w:rsidRDefault="000F34B1" w:rsidP="00CA586E">
      <w:pPr>
        <w:pStyle w:val="Odlomakpopisa"/>
        <w:numPr>
          <w:ilvl w:val="0"/>
          <w:numId w:val="9"/>
        </w:numPr>
        <w:tabs>
          <w:tab w:val="left" w:pos="142"/>
        </w:tabs>
        <w:spacing w:after="0" w:line="240" w:lineRule="auto"/>
        <w:ind w:left="0" w:right="567" w:firstLine="0"/>
        <w:rPr>
          <w:rFonts w:eastAsia="Times New Roman" w:cstheme="minorHAnsi"/>
          <w:color w:val="000000"/>
          <w:lang w:eastAsia="hr-HR"/>
        </w:rPr>
      </w:pPr>
      <w:r w:rsidRPr="000F34B1">
        <w:rPr>
          <w:rFonts w:eastAsia="Times New Roman" w:cstheme="minorHAnsi"/>
          <w:color w:val="000000"/>
          <w:lang w:eastAsia="hr-HR"/>
        </w:rPr>
        <w:t xml:space="preserve">Ponuda mora biti dovoljno jasna da omogući </w:t>
      </w:r>
      <w:proofErr w:type="spellStart"/>
      <w:r w:rsidRPr="000F34B1">
        <w:rPr>
          <w:rFonts w:eastAsia="Times New Roman" w:cstheme="minorHAnsi"/>
          <w:color w:val="000000"/>
          <w:lang w:eastAsia="hr-HR"/>
        </w:rPr>
        <w:t>evaluatorima</w:t>
      </w:r>
      <w:proofErr w:type="spellEnd"/>
      <w:r w:rsidRPr="000F34B1">
        <w:rPr>
          <w:rFonts w:eastAsia="Times New Roman" w:cstheme="minorHAnsi"/>
          <w:color w:val="000000"/>
          <w:lang w:eastAsia="hr-HR"/>
        </w:rPr>
        <w:t xml:space="preserve"> jednostavnu usporedbu između traženih i ponuđenih specifikacija </w:t>
      </w:r>
      <w:r w:rsidRPr="000F34B1">
        <w:rPr>
          <w:rFonts w:eastAsia="Times New Roman" w:cstheme="minorHAnsi"/>
          <w:color w:val="000000"/>
          <w:lang w:eastAsia="hr-HR"/>
        </w:rPr>
        <w:br/>
        <w:t xml:space="preserve">Tehničke specifikacije navedene su u tablici koja obuhvaća opremu, zadatke </w:t>
      </w:r>
      <w:r>
        <w:rPr>
          <w:rFonts w:eastAsia="Times New Roman" w:cstheme="minorHAnsi"/>
          <w:color w:val="000000"/>
          <w:lang w:eastAsia="hr-HR"/>
        </w:rPr>
        <w:t>provedbe i post-prodajne usluge,</w:t>
      </w:r>
      <w:r w:rsidRPr="000F34B1">
        <w:rPr>
          <w:rFonts w:eastAsia="Times New Roman" w:cstheme="minorHAnsi"/>
          <w:color w:val="000000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o</w:t>
      </w:r>
      <w:r w:rsidRPr="000F34B1">
        <w:rPr>
          <w:rFonts w:eastAsia="Times New Roman" w:cstheme="minorHAnsi"/>
          <w:color w:val="000000"/>
          <w:lang w:eastAsia="hr-HR"/>
        </w:rPr>
        <w:t xml:space="preserve">ne su obavezne kao minimalni standard svake pojedine stavke tražene robe i jedina su osnova za ocjenu tehničke sukladnosti ponuda od strane </w:t>
      </w:r>
      <w:proofErr w:type="spellStart"/>
      <w:r w:rsidRPr="000F34B1">
        <w:rPr>
          <w:rFonts w:eastAsia="Times New Roman" w:cstheme="minorHAnsi"/>
          <w:color w:val="000000"/>
          <w:lang w:eastAsia="hr-HR"/>
        </w:rPr>
        <w:t>evaluatora</w:t>
      </w:r>
      <w:proofErr w:type="spellEnd"/>
      <w:r w:rsidRPr="000F34B1">
        <w:rPr>
          <w:rFonts w:eastAsia="Times New Roman" w:cstheme="minorHAnsi"/>
          <w:color w:val="000000"/>
          <w:lang w:eastAsia="hr-HR"/>
        </w:rPr>
        <w:t xml:space="preserve">. </w:t>
      </w:r>
    </w:p>
    <w:p w14:paraId="3C1F77EB" w14:textId="77777777" w:rsidR="000F34B1" w:rsidRPr="000F34B1" w:rsidRDefault="000F34B1" w:rsidP="000F34B1">
      <w:pPr>
        <w:rPr>
          <w:rFonts w:cstheme="minorHAnsi"/>
        </w:rPr>
      </w:pPr>
    </w:p>
    <w:p w14:paraId="1E4837FB" w14:textId="77777777" w:rsidR="000F34B1" w:rsidRDefault="000F34B1" w:rsidP="000F34B1">
      <w:pPr>
        <w:ind w:left="2124"/>
        <w:rPr>
          <w:rFonts w:cstheme="minorHAnsi"/>
        </w:rPr>
      </w:pPr>
    </w:p>
    <w:p w14:paraId="694A74F8" w14:textId="77777777" w:rsidR="000F34B1" w:rsidRDefault="000F34B1" w:rsidP="000F34B1">
      <w:pPr>
        <w:ind w:left="2124"/>
        <w:rPr>
          <w:rFonts w:cstheme="minorHAnsi"/>
        </w:rPr>
      </w:pPr>
    </w:p>
    <w:p w14:paraId="687649A6" w14:textId="77777777" w:rsidR="000F34B1" w:rsidRDefault="000F34B1" w:rsidP="000F34B1">
      <w:pPr>
        <w:ind w:left="2124"/>
        <w:rPr>
          <w:rFonts w:cstheme="minorHAnsi"/>
        </w:rPr>
      </w:pPr>
    </w:p>
    <w:tbl>
      <w:tblPr>
        <w:tblStyle w:val="Reetkatablice"/>
        <w:tblpPr w:leftFromText="180" w:rightFromText="180" w:vertAnchor="text" w:horzAnchor="page" w:tblpX="1934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386"/>
        <w:gridCol w:w="4678"/>
        <w:gridCol w:w="1559"/>
        <w:gridCol w:w="1418"/>
      </w:tblGrid>
      <w:tr w:rsidR="00CA586E" w14:paraId="4EF2EF47" w14:textId="77777777" w:rsidTr="00EB68E8">
        <w:trPr>
          <w:trHeight w:val="63"/>
        </w:trPr>
        <w:tc>
          <w:tcPr>
            <w:tcW w:w="534" w:type="dxa"/>
            <w:shd w:val="clear" w:color="auto" w:fill="BDD6EE" w:themeFill="accent1" w:themeFillTint="66"/>
            <w:vAlign w:val="center"/>
          </w:tcPr>
          <w:p w14:paraId="076F5348" w14:textId="77777777" w:rsidR="00CA586E" w:rsidRDefault="00CA586E" w:rsidP="005E683D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177D5148" w14:textId="16502D16" w:rsidR="00CA586E" w:rsidRPr="005E683D" w:rsidRDefault="00CA586E" w:rsidP="005E683D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E683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</w:t>
            </w:r>
            <w:r w:rsidRPr="005E683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br/>
              <w:t xml:space="preserve">br. </w:t>
            </w:r>
            <w:r w:rsidRPr="005E683D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stavke</w:t>
            </w:r>
            <w:r w:rsidRPr="005E683D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br/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29D9F306" w14:textId="77777777" w:rsidR="00DA1B70" w:rsidRDefault="00DA1B70" w:rsidP="00DA1B7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2B2E5F2B" w14:textId="6E1EACD9" w:rsidR="00CA586E" w:rsidRDefault="00CA586E" w:rsidP="00DA1B70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II</w:t>
            </w:r>
          </w:p>
          <w:p w14:paraId="7B01F7E3" w14:textId="70FC9E0A" w:rsidR="00CA586E" w:rsidRPr="005E683D" w:rsidRDefault="00CA586E" w:rsidP="000F34B1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DA3F952" w14:textId="3FBF684E" w:rsidR="00CA586E" w:rsidRPr="005E683D" w:rsidRDefault="00CA586E" w:rsidP="000F34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683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II</w:t>
            </w:r>
            <w:r w:rsidR="00DA1B7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</w:t>
            </w:r>
            <w:r w:rsidRPr="005E683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br/>
              <w:t>Tražene specifikacije</w:t>
            </w:r>
          </w:p>
        </w:tc>
        <w:tc>
          <w:tcPr>
            <w:tcW w:w="4678" w:type="dxa"/>
            <w:shd w:val="clear" w:color="auto" w:fill="BDD6EE" w:themeFill="accent1" w:themeFillTint="66"/>
            <w:vAlign w:val="center"/>
          </w:tcPr>
          <w:p w14:paraId="56A0812D" w14:textId="1B14200F" w:rsidR="00CA586E" w:rsidRPr="005E683D" w:rsidRDefault="00DA1B70" w:rsidP="000F34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IV</w:t>
            </w:r>
            <w:r w:rsidR="00CA586E" w:rsidRPr="005E683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br/>
              <w:t>Ponuđene specifikacije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668872A3" w14:textId="758116BA" w:rsidR="00CA586E" w:rsidRDefault="00CA586E" w:rsidP="000F34B1">
            <w:pPr>
              <w:jc w:val="center"/>
              <w:rPr>
                <w:rFonts w:cstheme="minorHAnsi"/>
              </w:rPr>
            </w:pPr>
            <w:r w:rsidRPr="000F34B1"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  <w:t>V</w:t>
            </w:r>
            <w:r w:rsidRPr="000F34B1"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  <w:br/>
            </w:r>
            <w:r w:rsidRPr="002111B8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Bilješke, napomene, reference na dokumentaciju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1BA2C882" w14:textId="7451C126" w:rsidR="00CA586E" w:rsidRDefault="00CA586E" w:rsidP="000F34B1">
            <w:pPr>
              <w:jc w:val="center"/>
              <w:rPr>
                <w:rFonts w:cstheme="minorHAnsi"/>
              </w:rPr>
            </w:pPr>
            <w:r w:rsidRPr="000F34B1"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  <w:t>VI</w:t>
            </w:r>
            <w:r w:rsidRPr="000F34B1"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  <w:br/>
            </w:r>
            <w:r w:rsidRPr="005E683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Bilješke evaluacijskog odbora</w:t>
            </w:r>
          </w:p>
        </w:tc>
      </w:tr>
      <w:tr w:rsidR="00CA586E" w14:paraId="5E16727C" w14:textId="77777777" w:rsidTr="00EB68E8">
        <w:trPr>
          <w:trHeight w:val="275"/>
        </w:trPr>
        <w:tc>
          <w:tcPr>
            <w:tcW w:w="534" w:type="dxa"/>
          </w:tcPr>
          <w:p w14:paraId="58D25EA4" w14:textId="7F6BB813" w:rsidR="00CA586E" w:rsidRPr="000F34B1" w:rsidRDefault="00CA586E" w:rsidP="000F34B1">
            <w:pPr>
              <w:jc w:val="center"/>
              <w:rPr>
                <w:rFonts w:cstheme="minorHAnsi"/>
                <w:b/>
              </w:rPr>
            </w:pPr>
            <w:r w:rsidRPr="000F34B1">
              <w:rPr>
                <w:rFonts w:cstheme="minorHAnsi"/>
                <w:b/>
              </w:rPr>
              <w:t>1.</w:t>
            </w:r>
          </w:p>
        </w:tc>
        <w:tc>
          <w:tcPr>
            <w:tcW w:w="567" w:type="dxa"/>
          </w:tcPr>
          <w:p w14:paraId="4326BDFE" w14:textId="2647D02F" w:rsidR="00CA586E" w:rsidRPr="00E03F95" w:rsidRDefault="00CA586E" w:rsidP="00CA58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14:paraId="6281B90C" w14:textId="158FA7D8" w:rsidR="00CA586E" w:rsidRPr="00E03F95" w:rsidRDefault="00CA586E" w:rsidP="000F34B1">
            <w:pPr>
              <w:rPr>
                <w:rFonts w:cstheme="minorHAnsi"/>
                <w:b/>
                <w:sz w:val="20"/>
                <w:szCs w:val="20"/>
              </w:rPr>
            </w:pPr>
            <w:r w:rsidRPr="00E03F95">
              <w:rPr>
                <w:rFonts w:cstheme="minorHAnsi"/>
                <w:b/>
                <w:sz w:val="20"/>
                <w:szCs w:val="20"/>
              </w:rPr>
              <w:t>SERVO – ELEKTRIČNA KUTNA PREŠA</w:t>
            </w:r>
          </w:p>
          <w:p w14:paraId="25A4DCD9" w14:textId="77777777" w:rsidR="00CA586E" w:rsidRPr="002111B8" w:rsidRDefault="00CA586E" w:rsidP="000F34B1">
            <w:pPr>
              <w:rPr>
                <w:rFonts w:cstheme="minorHAnsi"/>
                <w:sz w:val="20"/>
                <w:szCs w:val="20"/>
              </w:rPr>
            </w:pPr>
          </w:p>
          <w:p w14:paraId="40B9425B" w14:textId="6589E395" w:rsidR="00CA586E" w:rsidRDefault="00CA586E" w:rsidP="000F34B1">
            <w:pPr>
              <w:rPr>
                <w:rFonts w:cstheme="minorHAnsi"/>
                <w:b/>
                <w:sz w:val="20"/>
                <w:szCs w:val="20"/>
              </w:rPr>
            </w:pPr>
            <w:r w:rsidRPr="002111B8">
              <w:rPr>
                <w:rFonts w:cstheme="minorHAnsi"/>
                <w:b/>
                <w:sz w:val="20"/>
                <w:szCs w:val="20"/>
              </w:rPr>
              <w:t>Tehnički podaci:</w:t>
            </w:r>
          </w:p>
          <w:p w14:paraId="7F6336E8" w14:textId="6A7F7A01" w:rsidR="00CA586E" w:rsidRDefault="00EB68E8" w:rsidP="000F34B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B68E8">
              <w:rPr>
                <w:rFonts w:cstheme="minorHAnsi"/>
                <w:sz w:val="20"/>
                <w:szCs w:val="20"/>
              </w:rPr>
              <w:t>Servo</w:t>
            </w:r>
            <w:proofErr w:type="spellEnd"/>
            <w:r w:rsidRPr="00EB68E8">
              <w:rPr>
                <w:rFonts w:cstheme="minorHAnsi"/>
                <w:sz w:val="20"/>
                <w:szCs w:val="20"/>
              </w:rPr>
              <w:t xml:space="preserve"> – električni pogon</w:t>
            </w:r>
          </w:p>
          <w:p w14:paraId="37786B74" w14:textId="4CDDDA81" w:rsidR="00EB68E8" w:rsidRPr="00EB68E8" w:rsidRDefault="00EB68E8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Mogućnost programiranja radne brzine (zaslonom)</w:t>
            </w:r>
          </w:p>
          <w:p w14:paraId="75ECB79F" w14:textId="45CF9AC2" w:rsidR="00CA586E" w:rsidRDefault="00CA586E" w:rsidP="000F34B1">
            <w:pPr>
              <w:rPr>
                <w:rFonts w:cstheme="minorHAnsi"/>
                <w:sz w:val="20"/>
                <w:szCs w:val="20"/>
              </w:rPr>
            </w:pPr>
            <w:r w:rsidRPr="002111B8">
              <w:rPr>
                <w:rFonts w:cstheme="minorHAnsi"/>
                <w:sz w:val="20"/>
                <w:szCs w:val="20"/>
              </w:rPr>
              <w:t>Razmak između bočnih stranica</w:t>
            </w:r>
            <w:r w:rsidR="00EB68E8">
              <w:rPr>
                <w:rFonts w:cstheme="minorHAnsi"/>
                <w:sz w:val="20"/>
                <w:szCs w:val="20"/>
              </w:rPr>
              <w:t>: min 20</w:t>
            </w:r>
            <w:r>
              <w:rPr>
                <w:rFonts w:cstheme="minorHAnsi"/>
                <w:sz w:val="20"/>
                <w:szCs w:val="20"/>
              </w:rPr>
              <w:t>00 mm</w:t>
            </w:r>
          </w:p>
          <w:p w14:paraId="121FA57D" w14:textId="55EAB2DC" w:rsidR="00CA586E" w:rsidRDefault="00CA586E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Dubina grla: maksimalna iskoristivost radne dužine </w:t>
            </w:r>
            <w:r w:rsidR="00EB68E8">
              <w:rPr>
                <w:rFonts w:cstheme="minorHAnsi"/>
                <w:sz w:val="20"/>
                <w:szCs w:val="20"/>
              </w:rPr>
              <w:t xml:space="preserve">min </w:t>
            </w:r>
            <w:r w:rsidR="00DA1B70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00 mm</w:t>
            </w:r>
          </w:p>
          <w:p w14:paraId="5582B783" w14:textId="7B40C8C5" w:rsidR="00CA586E" w:rsidRDefault="00CA586E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Otvor: min 600/</w:t>
            </w:r>
            <w:proofErr w:type="spellStart"/>
            <w:r>
              <w:rPr>
                <w:rFonts w:cstheme="minorHAnsi"/>
                <w:sz w:val="20"/>
                <w:szCs w:val="20"/>
              </w:rPr>
              <w:t>600</w:t>
            </w:r>
            <w:proofErr w:type="spellEnd"/>
            <w:r>
              <w:rPr>
                <w:rFonts w:cstheme="minorHAnsi"/>
                <w:sz w:val="20"/>
                <w:szCs w:val="20"/>
              </w:rPr>
              <w:t>/600 mm</w:t>
            </w:r>
          </w:p>
          <w:p w14:paraId="2C418448" w14:textId="61F0AAA0" w:rsidR="00EB68E8" w:rsidRDefault="00EB68E8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Kontrolna jedinica sa ekranom na dodir veličine min 15 inča</w:t>
            </w:r>
          </w:p>
          <w:p w14:paraId="68CEB3A2" w14:textId="72804478" w:rsidR="00EB68E8" w:rsidRDefault="00EB68E8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 1 USB priključak</w:t>
            </w:r>
          </w:p>
          <w:p w14:paraId="3DCFADA0" w14:textId="59E93137" w:rsidR="00EB68E8" w:rsidRDefault="00EB68E8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Mogućnost hoda: min 250 mm</w:t>
            </w:r>
          </w:p>
          <w:p w14:paraId="6211F4B4" w14:textId="77777777" w:rsidR="00EB68E8" w:rsidRDefault="00EB68E8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Mogućnost zaustavljanja u donjoj mrtvoj točki</w:t>
            </w:r>
          </w:p>
          <w:p w14:paraId="65E5828B" w14:textId="6FC6217F" w:rsidR="00EB68E8" w:rsidRDefault="00EB68E8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Mogućnost postavljanja željenog kuta savijanja</w:t>
            </w:r>
          </w:p>
          <w:p w14:paraId="763EE7C0" w14:textId="664DA7F5" w:rsidR="00CA586E" w:rsidRDefault="00CA586E" w:rsidP="000F34B1">
            <w:pPr>
              <w:rPr>
                <w:rFonts w:cstheme="minorHAnsi"/>
                <w:b/>
                <w:sz w:val="20"/>
                <w:szCs w:val="20"/>
              </w:rPr>
            </w:pPr>
            <w:r w:rsidRPr="002111B8">
              <w:rPr>
                <w:rFonts w:cstheme="minorHAnsi"/>
                <w:b/>
                <w:sz w:val="20"/>
                <w:szCs w:val="20"/>
              </w:rPr>
              <w:t>Y-OS</w:t>
            </w:r>
          </w:p>
          <w:p w14:paraId="4C3161E8" w14:textId="17431401" w:rsidR="00CA586E" w:rsidRDefault="00EB68E8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Hod: min 30</w:t>
            </w:r>
            <w:r w:rsidR="00CA586E">
              <w:rPr>
                <w:rFonts w:cstheme="minorHAnsi"/>
                <w:sz w:val="20"/>
                <w:szCs w:val="20"/>
              </w:rPr>
              <w:t>0</w:t>
            </w:r>
          </w:p>
          <w:p w14:paraId="1D85DD72" w14:textId="37397FC3" w:rsidR="00CA586E" w:rsidRDefault="00CA586E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Točnost ponovljivosti: </w:t>
            </w:r>
            <w:r w:rsidR="001F0A4C">
              <w:rPr>
                <w:rFonts w:cstheme="minorHAnsi"/>
                <w:sz w:val="20"/>
                <w:szCs w:val="20"/>
              </w:rPr>
              <w:t xml:space="preserve">min </w:t>
            </w:r>
            <w:r>
              <w:rPr>
                <w:rFonts w:cstheme="minorHAnsi"/>
                <w:sz w:val="20"/>
                <w:szCs w:val="20"/>
              </w:rPr>
              <w:t>± 0,005 mm</w:t>
            </w:r>
          </w:p>
          <w:p w14:paraId="222A2C24" w14:textId="5EEA2075" w:rsidR="00CA586E" w:rsidRDefault="00CA586E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Maksimalna radna brzina: </w:t>
            </w:r>
            <w:r w:rsidR="001F0A4C">
              <w:rPr>
                <w:rFonts w:cstheme="minorHAnsi"/>
                <w:sz w:val="20"/>
                <w:szCs w:val="20"/>
              </w:rPr>
              <w:t>min 8</w:t>
            </w:r>
            <w:r>
              <w:rPr>
                <w:rFonts w:cstheme="minorHAnsi"/>
                <w:sz w:val="20"/>
                <w:szCs w:val="20"/>
              </w:rPr>
              <w:t xml:space="preserve"> mm/s</w:t>
            </w:r>
          </w:p>
          <w:p w14:paraId="6A75B667" w14:textId="3AA6324D" w:rsidR="00CA586E" w:rsidRDefault="00CA586E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Prilazna brzina: min 180 mm/s</w:t>
            </w:r>
          </w:p>
          <w:p w14:paraId="14E47BFB" w14:textId="77777777" w:rsidR="00CA586E" w:rsidRDefault="00CA586E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Brzina vraćanja: min 180 mm/s</w:t>
            </w:r>
          </w:p>
          <w:p w14:paraId="52B40335" w14:textId="1C728BB1" w:rsidR="00CA586E" w:rsidRPr="00C75DAA" w:rsidRDefault="00CA586E" w:rsidP="000F34B1">
            <w:pPr>
              <w:rPr>
                <w:rFonts w:cstheme="minorHAnsi"/>
                <w:b/>
                <w:sz w:val="20"/>
                <w:szCs w:val="20"/>
              </w:rPr>
            </w:pPr>
            <w:r w:rsidRPr="00C75DAA">
              <w:rPr>
                <w:rFonts w:cstheme="minorHAnsi"/>
                <w:b/>
                <w:sz w:val="20"/>
                <w:szCs w:val="20"/>
              </w:rPr>
              <w:t>X-OS</w:t>
            </w:r>
          </w:p>
          <w:p w14:paraId="2E93E039" w14:textId="631C735E" w:rsidR="00CA586E" w:rsidRDefault="00CA586E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Brzina: min 350 mm/s</w:t>
            </w:r>
          </w:p>
          <w:p w14:paraId="7165CAD5" w14:textId="24090FDA" w:rsidR="00CA586E" w:rsidRDefault="001F0A4C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Preciznost: </w:t>
            </w:r>
            <w:r w:rsidR="008100C1">
              <w:rPr>
                <w:rFonts w:cstheme="minorHAnsi"/>
                <w:sz w:val="20"/>
                <w:szCs w:val="20"/>
              </w:rPr>
              <w:t xml:space="preserve">min </w:t>
            </w:r>
            <w:r>
              <w:rPr>
                <w:rFonts w:cstheme="minorHAnsi"/>
                <w:sz w:val="20"/>
                <w:szCs w:val="20"/>
              </w:rPr>
              <w:t>± 0,05</w:t>
            </w:r>
            <w:r w:rsidR="00CA586E">
              <w:rPr>
                <w:rFonts w:cstheme="minorHAnsi"/>
                <w:sz w:val="20"/>
                <w:szCs w:val="20"/>
              </w:rPr>
              <w:t xml:space="preserve"> mm</w:t>
            </w:r>
          </w:p>
          <w:p w14:paraId="3FF5CC1B" w14:textId="256FEB64" w:rsidR="00CA586E" w:rsidRDefault="00CA586E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Hod grani</w:t>
            </w:r>
            <w:r w:rsidR="008100C1">
              <w:rPr>
                <w:rFonts w:cstheme="minorHAnsi"/>
                <w:sz w:val="20"/>
                <w:szCs w:val="20"/>
              </w:rPr>
              <w:t>čnika/maksimalno graničenje: 500</w:t>
            </w:r>
            <w:r>
              <w:rPr>
                <w:rFonts w:cstheme="minorHAnsi"/>
                <w:sz w:val="20"/>
                <w:szCs w:val="20"/>
              </w:rPr>
              <w:t>/1000</w:t>
            </w:r>
          </w:p>
          <w:p w14:paraId="5447E157" w14:textId="039FAD03" w:rsidR="00CA586E" w:rsidRDefault="00CA586E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Hod X I (delta X) : </w:t>
            </w:r>
            <w:r w:rsidR="001F0A4C">
              <w:rPr>
                <w:rFonts w:cstheme="minorHAnsi"/>
                <w:sz w:val="20"/>
                <w:szCs w:val="20"/>
              </w:rPr>
              <w:t xml:space="preserve">min </w:t>
            </w:r>
            <w:r>
              <w:rPr>
                <w:rFonts w:cstheme="minorHAnsi"/>
                <w:sz w:val="20"/>
                <w:szCs w:val="20"/>
              </w:rPr>
              <w:t xml:space="preserve">± </w:t>
            </w:r>
            <w:r w:rsidR="001F0A4C">
              <w:rPr>
                <w:rFonts w:cstheme="minorHAnsi"/>
                <w:sz w:val="20"/>
                <w:szCs w:val="20"/>
              </w:rPr>
              <w:t>80</w:t>
            </w:r>
          </w:p>
          <w:p w14:paraId="51A6128D" w14:textId="77777777" w:rsidR="008100C1" w:rsidRDefault="008100C1" w:rsidP="000F34B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349EF2" w14:textId="77777777" w:rsidR="00CA586E" w:rsidRDefault="00CA586E" w:rsidP="000F34B1">
            <w:pPr>
              <w:rPr>
                <w:rFonts w:cstheme="minorHAnsi"/>
                <w:b/>
                <w:sz w:val="20"/>
                <w:szCs w:val="20"/>
              </w:rPr>
            </w:pPr>
            <w:r w:rsidRPr="00C75DAA">
              <w:rPr>
                <w:rFonts w:cstheme="minorHAnsi"/>
                <w:b/>
                <w:sz w:val="20"/>
                <w:szCs w:val="20"/>
              </w:rPr>
              <w:t>Z-OS</w:t>
            </w:r>
          </w:p>
          <w:p w14:paraId="48B9674A" w14:textId="0D1629B0" w:rsidR="00CA586E" w:rsidRDefault="001F0A4C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Brzina: min 18</w:t>
            </w:r>
            <w:r w:rsidR="00CA586E">
              <w:rPr>
                <w:rFonts w:cstheme="minorHAnsi"/>
                <w:sz w:val="20"/>
                <w:szCs w:val="20"/>
              </w:rPr>
              <w:t>00 mm/s</w:t>
            </w:r>
          </w:p>
          <w:p w14:paraId="2784C081" w14:textId="2649F964" w:rsidR="00CA586E" w:rsidRDefault="00CA586E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Preciznost: </w:t>
            </w:r>
            <w:r w:rsidR="001F0A4C">
              <w:rPr>
                <w:rFonts w:cstheme="minorHAnsi"/>
                <w:sz w:val="20"/>
                <w:szCs w:val="20"/>
              </w:rPr>
              <w:t xml:space="preserve">min </w:t>
            </w:r>
            <w:r>
              <w:rPr>
                <w:rFonts w:cstheme="minorHAnsi"/>
                <w:sz w:val="20"/>
                <w:szCs w:val="20"/>
              </w:rPr>
              <w:t>± 0,2 mm</w:t>
            </w:r>
          </w:p>
          <w:p w14:paraId="6A471C7C" w14:textId="2AAE1FD7" w:rsidR="00CA586E" w:rsidRDefault="001F0A4C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Minimalni raspon r</w:t>
            </w:r>
            <w:r w:rsidR="00CA586E">
              <w:rPr>
                <w:rFonts w:cstheme="minorHAnsi"/>
                <w:sz w:val="20"/>
                <w:szCs w:val="20"/>
              </w:rPr>
              <w:t>adno</w:t>
            </w:r>
            <w:r>
              <w:rPr>
                <w:rFonts w:cstheme="minorHAnsi"/>
                <w:sz w:val="20"/>
                <w:szCs w:val="20"/>
              </w:rPr>
              <w:t xml:space="preserve">g područja: 200 do </w:t>
            </w:r>
            <w:r w:rsidR="008100C1">
              <w:rPr>
                <w:rFonts w:cstheme="minorHAnsi"/>
                <w:sz w:val="20"/>
                <w:szCs w:val="20"/>
              </w:rPr>
              <w:t>177</w:t>
            </w:r>
            <w:bookmarkStart w:id="1" w:name="_GoBack"/>
            <w:bookmarkEnd w:id="1"/>
            <w:r w:rsidR="00CA586E">
              <w:rPr>
                <w:rFonts w:cstheme="minorHAnsi"/>
                <w:sz w:val="20"/>
                <w:szCs w:val="20"/>
              </w:rPr>
              <w:t>0 mm</w:t>
            </w:r>
          </w:p>
          <w:p w14:paraId="6C2CFF5D" w14:textId="57D3F648" w:rsidR="00CA586E" w:rsidRPr="00E03F95" w:rsidRDefault="00CA586E" w:rsidP="000F34B1">
            <w:pPr>
              <w:rPr>
                <w:rFonts w:cstheme="minorHAnsi"/>
                <w:b/>
                <w:sz w:val="20"/>
                <w:szCs w:val="20"/>
              </w:rPr>
            </w:pPr>
            <w:r w:rsidRPr="00E03F95">
              <w:rPr>
                <w:rFonts w:cstheme="minorHAnsi"/>
                <w:b/>
                <w:sz w:val="20"/>
                <w:szCs w:val="20"/>
              </w:rPr>
              <w:t>R-OS</w:t>
            </w:r>
          </w:p>
          <w:p w14:paraId="64C30393" w14:textId="1E6DAB04" w:rsidR="00CA586E" w:rsidRDefault="00CA586E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Brzina: min 1</w:t>
            </w:r>
            <w:r w:rsidR="001F0A4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 mm/s</w:t>
            </w:r>
          </w:p>
          <w:p w14:paraId="3929600D" w14:textId="3A27102C" w:rsidR="00CA586E" w:rsidRDefault="001F0A4C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Hod: min 18</w:t>
            </w:r>
            <w:r w:rsidR="00CA586E">
              <w:rPr>
                <w:rFonts w:cstheme="minorHAnsi"/>
                <w:sz w:val="20"/>
                <w:szCs w:val="20"/>
              </w:rPr>
              <w:t>0 mm</w:t>
            </w:r>
          </w:p>
          <w:p w14:paraId="0535711C" w14:textId="07A4323E" w:rsidR="00CA586E" w:rsidRDefault="00CA586E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Preciznost: </w:t>
            </w:r>
            <w:r w:rsidR="001F0A4C">
              <w:rPr>
                <w:rFonts w:cstheme="minorHAnsi"/>
                <w:sz w:val="20"/>
                <w:szCs w:val="20"/>
              </w:rPr>
              <w:t xml:space="preserve">min </w:t>
            </w:r>
            <w:r>
              <w:rPr>
                <w:rFonts w:cstheme="minorHAnsi"/>
                <w:sz w:val="20"/>
                <w:szCs w:val="20"/>
              </w:rPr>
              <w:t>± 0,1 mm</w:t>
            </w:r>
          </w:p>
          <w:p w14:paraId="4A62163B" w14:textId="2FFBA77B" w:rsidR="00CA586E" w:rsidRDefault="00CA586E" w:rsidP="000F34B1">
            <w:pPr>
              <w:rPr>
                <w:rFonts w:cstheme="minorHAnsi"/>
                <w:b/>
                <w:sz w:val="20"/>
                <w:szCs w:val="20"/>
              </w:rPr>
            </w:pPr>
            <w:r w:rsidRPr="00EB2E6A">
              <w:rPr>
                <w:rFonts w:cstheme="minorHAnsi"/>
                <w:b/>
                <w:sz w:val="20"/>
                <w:szCs w:val="20"/>
              </w:rPr>
              <w:t>Dimenzije</w:t>
            </w:r>
          </w:p>
          <w:p w14:paraId="6454EF8D" w14:textId="627D30B5" w:rsidR="00CA586E" w:rsidRDefault="00CA586E" w:rsidP="000F34B1">
            <w:pPr>
              <w:rPr>
                <w:rFonts w:cstheme="minorHAnsi"/>
                <w:sz w:val="20"/>
                <w:szCs w:val="20"/>
              </w:rPr>
            </w:pPr>
            <w:r w:rsidRPr="00EB2E6A">
              <w:rPr>
                <w:rFonts w:cstheme="minorHAnsi"/>
                <w:sz w:val="20"/>
                <w:szCs w:val="20"/>
              </w:rPr>
              <w:t>Dužina:</w:t>
            </w:r>
            <w:r w:rsidR="001F0A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F0A4C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="001F0A4C">
              <w:rPr>
                <w:rFonts w:cstheme="minorHAnsi"/>
                <w:sz w:val="20"/>
                <w:szCs w:val="20"/>
              </w:rPr>
              <w:t xml:space="preserve"> 3500</w:t>
            </w:r>
            <w:r>
              <w:rPr>
                <w:rFonts w:cstheme="minorHAnsi"/>
                <w:sz w:val="20"/>
                <w:szCs w:val="20"/>
              </w:rPr>
              <w:t xml:space="preserve"> mm</w:t>
            </w:r>
          </w:p>
          <w:p w14:paraId="7ABC1278" w14:textId="4F48051A" w:rsidR="00CA586E" w:rsidRDefault="001F0A4C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Širina: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2000</w:t>
            </w:r>
            <w:r w:rsidR="00CA586E">
              <w:rPr>
                <w:rFonts w:cstheme="minorHAnsi"/>
                <w:sz w:val="20"/>
                <w:szCs w:val="20"/>
              </w:rPr>
              <w:t xml:space="preserve"> mm</w:t>
            </w:r>
          </w:p>
          <w:p w14:paraId="30BFF605" w14:textId="1C130558" w:rsidR="00CA586E" w:rsidRDefault="001F0A4C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Visina: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2800</w:t>
            </w:r>
            <w:r w:rsidR="00CA586E">
              <w:rPr>
                <w:rFonts w:cstheme="minorHAnsi"/>
                <w:sz w:val="20"/>
                <w:szCs w:val="20"/>
              </w:rPr>
              <w:t xml:space="preserve"> mm</w:t>
            </w:r>
          </w:p>
          <w:p w14:paraId="20F177E9" w14:textId="6A91F178" w:rsidR="00CA586E" w:rsidRDefault="00CA586E" w:rsidP="000F34B1">
            <w:pPr>
              <w:rPr>
                <w:rFonts w:cstheme="minorHAnsi"/>
                <w:b/>
                <w:sz w:val="20"/>
                <w:szCs w:val="20"/>
              </w:rPr>
            </w:pPr>
            <w:r w:rsidRPr="00EB2E6A">
              <w:rPr>
                <w:rFonts w:cstheme="minorHAnsi"/>
                <w:b/>
                <w:sz w:val="20"/>
                <w:szCs w:val="20"/>
              </w:rPr>
              <w:t>Usluge:</w:t>
            </w:r>
          </w:p>
          <w:p w14:paraId="7BE981E6" w14:textId="482957AE" w:rsidR="00CA586E" w:rsidRDefault="00CA586E" w:rsidP="000F34B1">
            <w:pPr>
              <w:rPr>
                <w:rFonts w:cstheme="minorHAnsi"/>
                <w:sz w:val="20"/>
                <w:szCs w:val="20"/>
              </w:rPr>
            </w:pPr>
            <w:r w:rsidRPr="00EB2E6A">
              <w:rPr>
                <w:rFonts w:cstheme="minorHAnsi"/>
                <w:sz w:val="20"/>
                <w:szCs w:val="20"/>
              </w:rPr>
              <w:t>Isporuka</w:t>
            </w:r>
          </w:p>
          <w:p w14:paraId="7515831A" w14:textId="77777777" w:rsidR="00CA586E" w:rsidRDefault="00CA586E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Instalacija</w:t>
            </w:r>
          </w:p>
          <w:p w14:paraId="555374EE" w14:textId="6B4E15F4" w:rsidR="00CA586E" w:rsidRDefault="00CA586E" w:rsidP="000F34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Obuka 2 djelatnika: min 10 sati</w:t>
            </w:r>
          </w:p>
          <w:p w14:paraId="2C7F69A2" w14:textId="2018AA24" w:rsidR="00CA586E" w:rsidRPr="00EB2E6A" w:rsidRDefault="00CA586E" w:rsidP="000F34B1">
            <w:pPr>
              <w:rPr>
                <w:rFonts w:cstheme="minorHAnsi"/>
                <w:sz w:val="20"/>
                <w:szCs w:val="20"/>
              </w:rPr>
            </w:pPr>
            <w:r w:rsidRPr="001F0A4C">
              <w:rPr>
                <w:rFonts w:cstheme="minorHAnsi"/>
                <w:sz w:val="20"/>
                <w:szCs w:val="20"/>
              </w:rPr>
              <w:t>Jamstvo:</w:t>
            </w:r>
            <w:r w:rsidR="001F0A4C">
              <w:rPr>
                <w:rFonts w:cstheme="minorHAnsi"/>
                <w:sz w:val="20"/>
                <w:szCs w:val="20"/>
              </w:rPr>
              <w:t xml:space="preserve"> 12 mjeseci</w:t>
            </w:r>
          </w:p>
          <w:p w14:paraId="1985B058" w14:textId="335FCFC3" w:rsidR="00CA586E" w:rsidRPr="005E683D" w:rsidRDefault="00CA586E" w:rsidP="000F34B1">
            <w:pPr>
              <w:rPr>
                <w:rFonts w:cstheme="minorHAnsi"/>
                <w:sz w:val="20"/>
                <w:szCs w:val="20"/>
              </w:rPr>
            </w:pPr>
            <w:r w:rsidRPr="00EB2E6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38CACFA0" w14:textId="77777777" w:rsidR="00CA586E" w:rsidRDefault="00CA586E" w:rsidP="000F34B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78BF4AE" w14:textId="77777777" w:rsidR="00CA586E" w:rsidRDefault="00CA586E" w:rsidP="000F34B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F36A2F6" w14:textId="77777777" w:rsidR="00CA586E" w:rsidRDefault="00CA586E" w:rsidP="000F34B1">
            <w:pPr>
              <w:rPr>
                <w:rFonts w:cstheme="minorHAnsi"/>
              </w:rPr>
            </w:pPr>
          </w:p>
        </w:tc>
      </w:tr>
    </w:tbl>
    <w:p w14:paraId="1CF4534D" w14:textId="30CDF094" w:rsidR="000F34B1" w:rsidRDefault="000F34B1" w:rsidP="000F34B1">
      <w:pPr>
        <w:ind w:left="2124"/>
        <w:rPr>
          <w:rFonts w:cstheme="minorHAnsi"/>
        </w:rPr>
      </w:pPr>
    </w:p>
    <w:p w14:paraId="642C7D53" w14:textId="77777777" w:rsidR="000F34B1" w:rsidRDefault="000F34B1" w:rsidP="000F34B1">
      <w:pPr>
        <w:ind w:left="2124"/>
        <w:rPr>
          <w:rFonts w:cstheme="minorHAnsi"/>
        </w:rPr>
      </w:pPr>
    </w:p>
    <w:p w14:paraId="19D0B684" w14:textId="77777777" w:rsidR="000F34B1" w:rsidRDefault="000F34B1" w:rsidP="000F34B1">
      <w:pPr>
        <w:ind w:left="2124"/>
        <w:rPr>
          <w:rFonts w:cstheme="minorHAnsi"/>
        </w:rPr>
      </w:pPr>
    </w:p>
    <w:p w14:paraId="76F6A5DD" w14:textId="77777777" w:rsidR="000F34B1" w:rsidRDefault="000F34B1" w:rsidP="000F34B1">
      <w:pPr>
        <w:ind w:left="2124"/>
        <w:rPr>
          <w:rFonts w:cstheme="minorHAnsi"/>
        </w:rPr>
      </w:pPr>
    </w:p>
    <w:p w14:paraId="6F460D2A" w14:textId="77777777" w:rsidR="000F34B1" w:rsidRDefault="000F34B1" w:rsidP="000F34B1">
      <w:pPr>
        <w:ind w:left="2124"/>
        <w:rPr>
          <w:rFonts w:cstheme="minorHAnsi"/>
        </w:rPr>
      </w:pPr>
    </w:p>
    <w:p w14:paraId="6D73E417" w14:textId="77777777" w:rsidR="000F34B1" w:rsidRDefault="000F34B1" w:rsidP="000F34B1">
      <w:pPr>
        <w:ind w:left="2124"/>
        <w:rPr>
          <w:rFonts w:cstheme="minorHAnsi"/>
        </w:rPr>
      </w:pPr>
    </w:p>
    <w:p w14:paraId="12022C7C" w14:textId="77777777" w:rsidR="000F34B1" w:rsidRDefault="000F34B1" w:rsidP="000F34B1">
      <w:pPr>
        <w:ind w:left="2124"/>
        <w:rPr>
          <w:rFonts w:cstheme="minorHAnsi"/>
        </w:rPr>
      </w:pPr>
    </w:p>
    <w:p w14:paraId="53986835" w14:textId="77777777" w:rsidR="000F34B1" w:rsidRPr="000F34B1" w:rsidRDefault="000F34B1" w:rsidP="000F34B1">
      <w:pPr>
        <w:ind w:left="2124"/>
        <w:rPr>
          <w:rFonts w:cstheme="minorHAnsi"/>
        </w:rPr>
      </w:pPr>
    </w:p>
    <w:p w14:paraId="7E027C28" w14:textId="77777777" w:rsidR="000F34B1" w:rsidRPr="000F34B1" w:rsidRDefault="000F34B1" w:rsidP="000F34B1">
      <w:pPr>
        <w:rPr>
          <w:rFonts w:cstheme="minorHAnsi"/>
        </w:rPr>
      </w:pPr>
    </w:p>
    <w:p w14:paraId="2B769FF8" w14:textId="620008D2" w:rsidR="00A5133C" w:rsidRPr="000F34B1" w:rsidRDefault="00A5133C" w:rsidP="00591C66">
      <w:pPr>
        <w:rPr>
          <w:rFonts w:cstheme="minorHAnsi"/>
        </w:rPr>
      </w:pPr>
    </w:p>
    <w:sectPr w:rsidR="00A5133C" w:rsidRPr="000F34B1" w:rsidSect="000F34B1">
      <w:headerReference w:type="default" r:id="rId9"/>
      <w:footerReference w:type="default" r:id="rId10"/>
      <w:pgSz w:w="16838" w:h="11906" w:orient="landscape"/>
      <w:pgMar w:top="1418" w:right="17" w:bottom="1134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5AD9A" w14:textId="77777777" w:rsidR="009145D1" w:rsidRDefault="009145D1" w:rsidP="00496A8C">
      <w:pPr>
        <w:spacing w:after="0" w:line="240" w:lineRule="auto"/>
      </w:pPr>
      <w:r>
        <w:separator/>
      </w:r>
    </w:p>
  </w:endnote>
  <w:endnote w:type="continuationSeparator" w:id="0">
    <w:p w14:paraId="053A1AD1" w14:textId="77777777" w:rsidR="009145D1" w:rsidRDefault="009145D1" w:rsidP="004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7189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85C825" w14:textId="18FE484D" w:rsidR="007C130D" w:rsidRDefault="007C130D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0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0C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990631" w14:textId="77777777" w:rsidR="00855307" w:rsidRDefault="00855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32D3B" w14:textId="77777777" w:rsidR="009145D1" w:rsidRDefault="009145D1" w:rsidP="00496A8C">
      <w:pPr>
        <w:spacing w:after="0" w:line="240" w:lineRule="auto"/>
      </w:pPr>
      <w:r>
        <w:separator/>
      </w:r>
    </w:p>
  </w:footnote>
  <w:footnote w:type="continuationSeparator" w:id="0">
    <w:p w14:paraId="31B16C55" w14:textId="77777777" w:rsidR="009145D1" w:rsidRDefault="009145D1" w:rsidP="0049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475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43"/>
      <w:gridCol w:w="4688"/>
      <w:gridCol w:w="2341"/>
      <w:gridCol w:w="4349"/>
    </w:tblGrid>
    <w:tr w:rsidR="007C130D" w:rsidRPr="00ED64CD" w14:paraId="6B4CD927" w14:textId="77777777" w:rsidTr="00651C47">
      <w:trPr>
        <w:trHeight w:val="1205"/>
        <w:jc w:val="center"/>
      </w:trPr>
      <w:tc>
        <w:tcPr>
          <w:tcW w:w="1238" w:type="pct"/>
          <w:vAlign w:val="center"/>
        </w:tcPr>
        <w:p w14:paraId="4E8B40E5" w14:textId="77777777" w:rsidR="007C130D" w:rsidRPr="00585FAF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Projekt je sufinancirala Europska unija iz Europskog fonda za regionalni razvoj</w:t>
          </w:r>
        </w:p>
      </w:tc>
      <w:tc>
        <w:tcPr>
          <w:tcW w:w="1550" w:type="pct"/>
          <w:vAlign w:val="center"/>
        </w:tcPr>
        <w:p w14:paraId="4F4581A8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 wp14:anchorId="7E33AAAB" wp14:editId="1F276BEB">
                <wp:extent cx="1638300" cy="438150"/>
                <wp:effectExtent l="0" t="0" r="0" b="0"/>
                <wp:docPr id="1" name="Pictur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" w:type="pct"/>
          <w:vAlign w:val="center"/>
        </w:tcPr>
        <w:p w14:paraId="388BFC86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 wp14:anchorId="4663CB58" wp14:editId="7D7CD8EA">
                <wp:extent cx="657225" cy="438150"/>
                <wp:effectExtent l="0" t="0" r="9525" b="0"/>
                <wp:docPr id="2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636922" w14:textId="77777777" w:rsidR="007C130D" w:rsidRPr="00585FAF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Europska Unija</w:t>
          </w:r>
        </w:p>
        <w:p w14:paraId="19C52FFF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Zajedno do fondova EU</w:t>
          </w:r>
        </w:p>
      </w:tc>
      <w:tc>
        <w:tcPr>
          <w:tcW w:w="1438" w:type="pct"/>
          <w:vAlign w:val="center"/>
        </w:tcPr>
        <w:p w14:paraId="3CCEF9AB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rFonts w:ascii="Lucida Sans Unicode" w:hAnsi="Lucida Sans Unicode" w:cs="Lucida Sans Unicode"/>
              <w:noProof/>
              <w:color w:val="auto"/>
              <w:lang w:eastAsia="hr-HR"/>
            </w:rPr>
            <w:drawing>
              <wp:inline distT="0" distB="0" distL="0" distR="0" wp14:anchorId="399A8311" wp14:editId="77A2F8F7">
                <wp:extent cx="1495425" cy="495300"/>
                <wp:effectExtent l="0" t="0" r="9525" b="0"/>
                <wp:docPr id="3" name="Pictur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68A62" w14:textId="0C882397" w:rsidR="007C130D" w:rsidRDefault="007C130D">
    <w:pPr>
      <w:pStyle w:val="Zaglavlje"/>
    </w:pPr>
  </w:p>
  <w:p w14:paraId="70047B45" w14:textId="77777777" w:rsidR="007C130D" w:rsidRDefault="007C130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1C60"/>
    <w:multiLevelType w:val="hybridMultilevel"/>
    <w:tmpl w:val="9E1E75F6"/>
    <w:lvl w:ilvl="0" w:tplc="20F80E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501EF"/>
    <w:multiLevelType w:val="hybridMultilevel"/>
    <w:tmpl w:val="B4105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570CE"/>
    <w:multiLevelType w:val="hybridMultilevel"/>
    <w:tmpl w:val="E1342052"/>
    <w:lvl w:ilvl="0" w:tplc="20F80E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813F5"/>
    <w:multiLevelType w:val="hybridMultilevel"/>
    <w:tmpl w:val="C1068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74623"/>
    <w:multiLevelType w:val="hybridMultilevel"/>
    <w:tmpl w:val="CCCC5922"/>
    <w:lvl w:ilvl="0" w:tplc="20F80E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CC"/>
    <w:rsid w:val="000775E1"/>
    <w:rsid w:val="0009212F"/>
    <w:rsid w:val="000E0903"/>
    <w:rsid w:val="000F34B1"/>
    <w:rsid w:val="00180228"/>
    <w:rsid w:val="001E63DE"/>
    <w:rsid w:val="001F0A4C"/>
    <w:rsid w:val="002111B8"/>
    <w:rsid w:val="00261FB8"/>
    <w:rsid w:val="002C42FE"/>
    <w:rsid w:val="00352972"/>
    <w:rsid w:val="003D588A"/>
    <w:rsid w:val="003E1699"/>
    <w:rsid w:val="00411456"/>
    <w:rsid w:val="004842BF"/>
    <w:rsid w:val="0049547A"/>
    <w:rsid w:val="00496A8C"/>
    <w:rsid w:val="004A760B"/>
    <w:rsid w:val="004D1D15"/>
    <w:rsid w:val="004D23D0"/>
    <w:rsid w:val="00516A9E"/>
    <w:rsid w:val="00556BCD"/>
    <w:rsid w:val="00591C66"/>
    <w:rsid w:val="005D6FAF"/>
    <w:rsid w:val="005E5A7E"/>
    <w:rsid w:val="005E683D"/>
    <w:rsid w:val="0061266F"/>
    <w:rsid w:val="00630B69"/>
    <w:rsid w:val="00640D41"/>
    <w:rsid w:val="00664187"/>
    <w:rsid w:val="006827AB"/>
    <w:rsid w:val="006B36D7"/>
    <w:rsid w:val="007104CD"/>
    <w:rsid w:val="007C130D"/>
    <w:rsid w:val="008100C1"/>
    <w:rsid w:val="008503D7"/>
    <w:rsid w:val="00855307"/>
    <w:rsid w:val="008A0FF2"/>
    <w:rsid w:val="008A2991"/>
    <w:rsid w:val="0090686B"/>
    <w:rsid w:val="009145D1"/>
    <w:rsid w:val="00A5133C"/>
    <w:rsid w:val="00A53A2B"/>
    <w:rsid w:val="00A90FFD"/>
    <w:rsid w:val="00AA6DD1"/>
    <w:rsid w:val="00B108B2"/>
    <w:rsid w:val="00B53E71"/>
    <w:rsid w:val="00B93F7E"/>
    <w:rsid w:val="00BB0375"/>
    <w:rsid w:val="00C370CC"/>
    <w:rsid w:val="00C528AE"/>
    <w:rsid w:val="00C75DAA"/>
    <w:rsid w:val="00CA586E"/>
    <w:rsid w:val="00CD01F3"/>
    <w:rsid w:val="00D42739"/>
    <w:rsid w:val="00D73AEA"/>
    <w:rsid w:val="00DA1B70"/>
    <w:rsid w:val="00DE5E65"/>
    <w:rsid w:val="00E01919"/>
    <w:rsid w:val="00E03F95"/>
    <w:rsid w:val="00E34944"/>
    <w:rsid w:val="00E85AB6"/>
    <w:rsid w:val="00E924F2"/>
    <w:rsid w:val="00EB2E6A"/>
    <w:rsid w:val="00EB56D1"/>
    <w:rsid w:val="00EB68E8"/>
    <w:rsid w:val="00F11E63"/>
    <w:rsid w:val="00F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814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A8C"/>
  </w:style>
  <w:style w:type="paragraph" w:styleId="Podnoje">
    <w:name w:val="footer"/>
    <w:basedOn w:val="Normal"/>
    <w:link w:val="Podno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A8C"/>
  </w:style>
  <w:style w:type="table" w:styleId="Reetkatablice">
    <w:name w:val="Table Grid"/>
    <w:basedOn w:val="Obinatablica"/>
    <w:uiPriority w:val="99"/>
    <w:rsid w:val="0049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42BF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F11E6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16A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6A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6A9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6A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6A9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A9E"/>
    <w:rPr>
      <w:rFonts w:ascii="Segoe UI" w:hAnsi="Segoe UI" w:cs="Segoe UI"/>
      <w:sz w:val="18"/>
      <w:szCs w:val="18"/>
    </w:rPr>
  </w:style>
  <w:style w:type="paragraph" w:customStyle="1" w:styleId="HeaderEven">
    <w:name w:val="Header Even"/>
    <w:basedOn w:val="Bezproreda"/>
    <w:qFormat/>
    <w:rsid w:val="00855307"/>
    <w:pPr>
      <w:pBdr>
        <w:bottom w:val="single" w:sz="4" w:space="1" w:color="808080" w:themeColor="background1" w:themeShade="80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proreda">
    <w:name w:val="No Spacing"/>
    <w:uiPriority w:val="1"/>
    <w:qFormat/>
    <w:rsid w:val="00855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A8C"/>
  </w:style>
  <w:style w:type="paragraph" w:styleId="Podnoje">
    <w:name w:val="footer"/>
    <w:basedOn w:val="Normal"/>
    <w:link w:val="Podno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A8C"/>
  </w:style>
  <w:style w:type="table" w:styleId="Reetkatablice">
    <w:name w:val="Table Grid"/>
    <w:basedOn w:val="Obinatablica"/>
    <w:uiPriority w:val="99"/>
    <w:rsid w:val="0049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42BF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F11E6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16A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6A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6A9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6A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6A9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A9E"/>
    <w:rPr>
      <w:rFonts w:ascii="Segoe UI" w:hAnsi="Segoe UI" w:cs="Segoe UI"/>
      <w:sz w:val="18"/>
      <w:szCs w:val="18"/>
    </w:rPr>
  </w:style>
  <w:style w:type="paragraph" w:customStyle="1" w:styleId="HeaderEven">
    <w:name w:val="Header Even"/>
    <w:basedOn w:val="Bezproreda"/>
    <w:qFormat/>
    <w:rsid w:val="00855307"/>
    <w:pPr>
      <w:pBdr>
        <w:bottom w:val="single" w:sz="4" w:space="1" w:color="808080" w:themeColor="background1" w:themeShade="80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proreda">
    <w:name w:val="No Spacing"/>
    <w:uiPriority w:val="1"/>
    <w:qFormat/>
    <w:rsid w:val="00855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14E4-D4B3-4A93-B46E-14369AAB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Ivana Rečić</cp:lastModifiedBy>
  <cp:revision>22</cp:revision>
  <cp:lastPrinted>2018-01-03T09:28:00Z</cp:lastPrinted>
  <dcterms:created xsi:type="dcterms:W3CDTF">2017-09-25T07:35:00Z</dcterms:created>
  <dcterms:modified xsi:type="dcterms:W3CDTF">2018-01-03T09:44:00Z</dcterms:modified>
</cp:coreProperties>
</file>